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  <w:b w:val="1"/>
          <w:color w:val="auto"/>
          <w:sz w:val="21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21"/>
        </w:rPr>
        <w:t>週休２日の積算方法について</w:t>
      </w: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color w:val="auto"/>
          <w:sz w:val="21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21"/>
        </w:rPr>
        <w:t>(</w:t>
      </w:r>
      <w:r>
        <w:rPr>
          <w:rFonts w:hint="eastAsia" w:ascii="ＭＳ ゴシック" w:hAnsi="ＭＳ ゴシック" w:eastAsia="ＭＳ ゴシック"/>
          <w:b w:val="1"/>
          <w:color w:val="auto"/>
          <w:sz w:val="21"/>
        </w:rPr>
        <w:t>「港湾請負工事積算基準」「漁港漁場関係工事積算基準」を除く</w:t>
      </w:r>
      <w:r>
        <w:rPr>
          <w:rFonts w:hint="eastAsia" w:ascii="ＭＳ ゴシック" w:hAnsi="ＭＳ ゴシック" w:eastAsia="ＭＳ ゴシック"/>
          <w:b w:val="1"/>
          <w:color w:val="auto"/>
          <w:sz w:val="21"/>
        </w:rPr>
        <w:t>)</w:t>
      </w:r>
    </w:p>
    <w:p>
      <w:pPr>
        <w:pStyle w:val="0"/>
        <w:jc w:val="center"/>
        <w:rPr>
          <w:rFonts w:hint="eastAsia" w:ascii="ＭＳ ゴシック" w:hAnsi="ＭＳ ゴシック" w:eastAsia="ＭＳ ゴシック"/>
          <w:color w:val="auto"/>
          <w:sz w:val="21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21"/>
        </w:rPr>
        <w:t>○労務費</w:t>
      </w:r>
    </w:p>
    <w:p>
      <w:pPr>
        <w:pStyle w:val="0"/>
        <w:ind w:left="216" w:leftChars="100"/>
        <w:rPr>
          <w:rFonts w:hint="eastAsia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・労務単価</w:t>
      </w:r>
      <w:r>
        <w:rPr>
          <w:rFonts w:hint="eastAsia" w:ascii="ＭＳ ゴシック" w:hAnsi="ＭＳ ゴシック" w:eastAsia="ＭＳ ゴシック"/>
          <w:color w:val="auto"/>
          <w:sz w:val="21"/>
        </w:rPr>
        <w:t>(</w:t>
      </w:r>
      <w:r>
        <w:rPr>
          <w:rFonts w:hint="eastAsia" w:ascii="ＭＳ ゴシック" w:hAnsi="ＭＳ ゴシック" w:eastAsia="ＭＳ ゴシック"/>
          <w:color w:val="auto"/>
          <w:sz w:val="21"/>
        </w:rPr>
        <w:t>夜間、時間外等の補正後</w:t>
      </w:r>
      <w:r>
        <w:rPr>
          <w:rFonts w:hint="eastAsia" w:ascii="ＭＳ ゴシック" w:hAnsi="ＭＳ ゴシック" w:eastAsia="ＭＳ ゴシック"/>
          <w:color w:val="auto"/>
          <w:sz w:val="21"/>
        </w:rPr>
        <w:t>)</w:t>
      </w:r>
      <w:r>
        <w:rPr>
          <w:rFonts w:hint="eastAsia" w:ascii="ＭＳ ゴシック" w:hAnsi="ＭＳ ゴシック" w:eastAsia="ＭＳ ゴシック"/>
          <w:color w:val="auto"/>
          <w:sz w:val="21"/>
        </w:rPr>
        <w:t>【円未満切捨】</w:t>
      </w:r>
    </w:p>
    <w:p>
      <w:pPr>
        <w:pStyle w:val="0"/>
        <w:ind w:left="648" w:leftChars="300"/>
        <w:rPr>
          <w:rFonts w:hint="eastAsia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＝労務単価×夜間及び時間外等による補正係数</w:t>
      </w:r>
    </w:p>
    <w:p>
      <w:pPr>
        <w:pStyle w:val="0"/>
        <w:ind w:left="216" w:leftChars="100"/>
        <w:rPr>
          <w:rFonts w:hint="eastAsia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・労務単価</w:t>
      </w:r>
      <w:r>
        <w:rPr>
          <w:rFonts w:hint="eastAsia" w:ascii="ＭＳ ゴシック" w:hAnsi="ＭＳ ゴシック" w:eastAsia="ＭＳ ゴシック"/>
          <w:color w:val="auto"/>
          <w:sz w:val="21"/>
        </w:rPr>
        <w:t>(</w:t>
      </w:r>
      <w:r>
        <w:rPr>
          <w:rFonts w:hint="eastAsia" w:ascii="ＭＳ ゴシック" w:hAnsi="ＭＳ ゴシック" w:eastAsia="ＭＳ ゴシック"/>
          <w:color w:val="auto"/>
          <w:sz w:val="21"/>
        </w:rPr>
        <w:t>週休２日の補正後</w:t>
      </w:r>
      <w:r>
        <w:rPr>
          <w:rFonts w:hint="eastAsia" w:ascii="ＭＳ ゴシック" w:hAnsi="ＭＳ ゴシック" w:eastAsia="ＭＳ ゴシック"/>
          <w:color w:val="auto"/>
          <w:sz w:val="21"/>
        </w:rPr>
        <w:t>)</w:t>
      </w:r>
      <w:r>
        <w:rPr>
          <w:rFonts w:hint="eastAsia" w:ascii="ＭＳ ゴシック" w:hAnsi="ＭＳ ゴシック" w:eastAsia="ＭＳ ゴシック"/>
          <w:color w:val="auto"/>
          <w:sz w:val="21"/>
        </w:rPr>
        <w:t>【円未満切捨】</w:t>
      </w:r>
    </w:p>
    <w:p>
      <w:pPr>
        <w:pStyle w:val="0"/>
        <w:ind w:left="648" w:leftChars="300"/>
        <w:rPr>
          <w:rFonts w:hint="eastAsia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＝労務単価</w:t>
      </w:r>
      <w:r>
        <w:rPr>
          <w:rFonts w:hint="eastAsia" w:ascii="ＭＳ ゴシック" w:hAnsi="ＭＳ ゴシック" w:eastAsia="ＭＳ ゴシック"/>
          <w:color w:val="auto"/>
          <w:sz w:val="21"/>
        </w:rPr>
        <w:t>(</w:t>
      </w:r>
      <w:r>
        <w:rPr>
          <w:rFonts w:hint="eastAsia" w:ascii="ＭＳ ゴシック" w:hAnsi="ＭＳ ゴシック" w:eastAsia="ＭＳ ゴシック"/>
          <w:color w:val="auto"/>
          <w:sz w:val="21"/>
        </w:rPr>
        <w:t>夜間、時間外等の補正後</w:t>
      </w:r>
      <w:r>
        <w:rPr>
          <w:rFonts w:hint="eastAsia" w:ascii="ＭＳ ゴシック" w:hAnsi="ＭＳ ゴシック" w:eastAsia="ＭＳ ゴシック"/>
          <w:color w:val="auto"/>
          <w:sz w:val="21"/>
        </w:rPr>
        <w:t>)</w:t>
      </w:r>
      <w:r>
        <w:rPr>
          <w:rFonts w:hint="eastAsia" w:ascii="ＭＳ ゴシック" w:hAnsi="ＭＳ ゴシック" w:eastAsia="ＭＳ ゴシック"/>
          <w:color w:val="auto"/>
          <w:sz w:val="21"/>
        </w:rPr>
        <w:t>×週休２日補正係数</w:t>
      </w:r>
    </w:p>
    <w:p>
      <w:pPr>
        <w:pStyle w:val="0"/>
        <w:rPr>
          <w:rFonts w:hint="eastAsia" w:ascii="ＭＳ ゴシック" w:hAnsi="ＭＳ ゴシック" w:eastAsia="ＭＳ ゴシック"/>
          <w:color w:val="auto"/>
          <w:sz w:val="21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21"/>
        </w:rPr>
        <w:t>○機械経費</w:t>
      </w:r>
      <w:r>
        <w:rPr>
          <w:rFonts w:hint="eastAsia" w:ascii="ＭＳ ゴシック" w:hAnsi="ＭＳ ゴシック" w:eastAsia="ＭＳ ゴシック"/>
          <w:b w:val="1"/>
          <w:color w:val="auto"/>
          <w:sz w:val="21"/>
        </w:rPr>
        <w:t>(</w:t>
      </w:r>
      <w:r>
        <w:rPr>
          <w:rFonts w:hint="eastAsia" w:ascii="ＭＳ ゴシック" w:hAnsi="ＭＳ ゴシック" w:eastAsia="ＭＳ ゴシック"/>
          <w:b w:val="1"/>
          <w:color w:val="auto"/>
          <w:sz w:val="21"/>
        </w:rPr>
        <w:t>賃料</w:t>
      </w:r>
      <w:r>
        <w:rPr>
          <w:rFonts w:hint="eastAsia" w:ascii="ＭＳ ゴシック" w:hAnsi="ＭＳ ゴシック" w:eastAsia="ＭＳ ゴシック"/>
          <w:b w:val="1"/>
          <w:color w:val="auto"/>
          <w:sz w:val="21"/>
        </w:rPr>
        <w:t>)</w:t>
      </w:r>
    </w:p>
    <w:p>
      <w:pPr>
        <w:pStyle w:val="0"/>
        <w:ind w:left="432" w:leftChars="200"/>
        <w:rPr>
          <w:rFonts w:hint="eastAsia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機械賃料</w:t>
      </w:r>
      <w:r>
        <w:rPr>
          <w:rFonts w:hint="eastAsia" w:ascii="ＭＳ ゴシック" w:hAnsi="ＭＳ ゴシック" w:eastAsia="ＭＳ ゴシック"/>
          <w:color w:val="auto"/>
          <w:sz w:val="21"/>
        </w:rPr>
        <w:t>(</w:t>
      </w:r>
      <w:r>
        <w:rPr>
          <w:rFonts w:hint="eastAsia" w:ascii="ＭＳ ゴシック" w:hAnsi="ＭＳ ゴシック" w:eastAsia="ＭＳ ゴシック"/>
          <w:color w:val="auto"/>
          <w:sz w:val="21"/>
        </w:rPr>
        <w:t>週休２日の補正後</w:t>
      </w:r>
      <w:r>
        <w:rPr>
          <w:rFonts w:hint="eastAsia" w:ascii="ＭＳ ゴシック" w:hAnsi="ＭＳ ゴシック" w:eastAsia="ＭＳ ゴシック"/>
          <w:color w:val="auto"/>
          <w:sz w:val="21"/>
        </w:rPr>
        <w:t>)</w:t>
      </w:r>
      <w:r>
        <w:rPr>
          <w:rFonts w:hint="eastAsia" w:ascii="ＭＳ ゴシック" w:hAnsi="ＭＳ ゴシック" w:eastAsia="ＭＳ ゴシック"/>
          <w:color w:val="auto"/>
          <w:sz w:val="21"/>
        </w:rPr>
        <w:t>【円未満切捨】</w:t>
      </w:r>
    </w:p>
    <w:p>
      <w:pPr>
        <w:pStyle w:val="0"/>
        <w:ind w:left="648" w:leftChars="300"/>
        <w:rPr>
          <w:rFonts w:hint="eastAsia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＝機械賃料</w:t>
      </w:r>
      <w:r>
        <w:rPr>
          <w:rFonts w:hint="eastAsia" w:ascii="ＭＳ ゴシック" w:hAnsi="ＭＳ ゴシック" w:eastAsia="ＭＳ ゴシック"/>
          <w:color w:val="auto"/>
          <w:sz w:val="21"/>
          <w:vertAlign w:val="superscript"/>
        </w:rPr>
        <w:t>※</w:t>
      </w:r>
      <w:r>
        <w:rPr>
          <w:rFonts w:hint="eastAsia" w:ascii="ＭＳ ゴシック" w:hAnsi="ＭＳ ゴシック" w:eastAsia="ＭＳ ゴシック"/>
          <w:color w:val="auto"/>
          <w:sz w:val="21"/>
        </w:rPr>
        <w:t>×週休２日補正係数</w:t>
      </w:r>
    </w:p>
    <w:p>
      <w:pPr>
        <w:pStyle w:val="0"/>
        <w:ind w:firstLineChars="0"/>
        <w:rPr>
          <w:rFonts w:hint="eastAsia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※機械賃料は、「岡山県公共工事建設資材等単価決定要領及び同運用」に基づき決定した単価</w:t>
      </w:r>
    </w:p>
    <w:p>
      <w:pPr>
        <w:pStyle w:val="0"/>
        <w:ind w:firstLineChars="0"/>
        <w:rPr>
          <w:rFonts w:hint="eastAsia" w:ascii="ＭＳ ゴシック" w:hAnsi="ＭＳ ゴシック" w:eastAsia="ＭＳ ゴシック"/>
          <w:color w:val="auto"/>
          <w:sz w:val="21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21"/>
        </w:rPr>
        <w:t>○共通仮設費率</w:t>
      </w:r>
    </w:p>
    <w:p>
      <w:pPr>
        <w:pStyle w:val="0"/>
        <w:ind w:left="216" w:leftChars="100"/>
        <w:rPr>
          <w:rFonts w:hint="eastAsia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・共通仮設費率</w:t>
      </w:r>
      <w:r>
        <w:rPr>
          <w:rFonts w:hint="eastAsia" w:ascii="ＭＳ ゴシック" w:hAnsi="ＭＳ ゴシック" w:eastAsia="ＭＳ ゴシック"/>
          <w:color w:val="auto"/>
          <w:sz w:val="21"/>
        </w:rPr>
        <w:t>(</w:t>
      </w:r>
      <w:r>
        <w:rPr>
          <w:rFonts w:hint="eastAsia" w:ascii="ＭＳ ゴシック" w:hAnsi="ＭＳ ゴシック" w:eastAsia="ＭＳ ゴシック"/>
          <w:color w:val="auto"/>
          <w:sz w:val="21"/>
        </w:rPr>
        <w:t>補正前</w:t>
      </w:r>
      <w:r>
        <w:rPr>
          <w:rFonts w:hint="eastAsia" w:ascii="ＭＳ ゴシック" w:hAnsi="ＭＳ ゴシック" w:eastAsia="ＭＳ ゴシック"/>
          <w:color w:val="auto"/>
          <w:sz w:val="21"/>
        </w:rPr>
        <w:t>)</w:t>
      </w:r>
      <w:r>
        <w:rPr>
          <w:rFonts w:hint="eastAsia" w:ascii="ＭＳ ゴシック" w:hAnsi="ＭＳ ゴシック" w:eastAsia="ＭＳ ゴシック"/>
          <w:color w:val="auto"/>
          <w:sz w:val="21"/>
        </w:rPr>
        <w:t>【小数第３位四捨五入２位止め】</w:t>
      </w:r>
    </w:p>
    <w:p>
      <w:pPr>
        <w:pStyle w:val="0"/>
        <w:ind w:left="648" w:leftChars="300"/>
        <w:rPr>
          <w:rFonts w:hint="eastAsia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Ｋｒ</w:t>
      </w:r>
      <w:r>
        <w:rPr>
          <w:rFonts w:hint="eastAsia" w:ascii="ＭＳ ゴシック" w:hAnsi="ＭＳ ゴシック" w:eastAsia="ＭＳ ゴシック"/>
          <w:color w:val="auto"/>
          <w:sz w:val="21"/>
        </w:rPr>
        <w:t>=</w:t>
      </w:r>
      <w:r>
        <w:rPr>
          <w:rFonts w:hint="eastAsia" w:ascii="ＭＳ ゴシック" w:hAnsi="ＭＳ ゴシック" w:eastAsia="ＭＳ ゴシック"/>
          <w:color w:val="auto"/>
          <w:sz w:val="21"/>
        </w:rPr>
        <w:t>Ａ・Ｐ</w:t>
      </w:r>
      <w:r>
        <w:rPr>
          <w:rFonts w:hint="eastAsia" w:ascii="ＭＳ ゴシック" w:hAnsi="ＭＳ ゴシック" w:eastAsia="ＭＳ ゴシック"/>
          <w:color w:val="auto"/>
          <w:sz w:val="21"/>
          <w:vertAlign w:val="superscript"/>
        </w:rPr>
        <w:t>ｂ</w:t>
      </w:r>
    </w:p>
    <w:p>
      <w:pPr>
        <w:pStyle w:val="0"/>
        <w:ind w:left="864" w:leftChars="400"/>
        <w:rPr>
          <w:rFonts w:hint="eastAsia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Ｋｒ：共通仮設費率</w:t>
      </w:r>
      <w:r>
        <w:rPr>
          <w:rFonts w:hint="eastAsia" w:ascii="ＭＳ ゴシック" w:hAnsi="ＭＳ ゴシック" w:eastAsia="ＭＳ ゴシック"/>
          <w:color w:val="auto"/>
          <w:sz w:val="21"/>
        </w:rPr>
        <w:t>(</w:t>
      </w:r>
      <w:r>
        <w:rPr>
          <w:rFonts w:hint="eastAsia" w:ascii="ＭＳ ゴシック" w:hAnsi="ＭＳ ゴシック" w:eastAsia="ＭＳ ゴシック"/>
          <w:color w:val="auto"/>
          <w:sz w:val="21"/>
        </w:rPr>
        <w:t>％</w:t>
      </w:r>
      <w:r>
        <w:rPr>
          <w:rFonts w:hint="eastAsia" w:ascii="ＭＳ ゴシック" w:hAnsi="ＭＳ ゴシック" w:eastAsia="ＭＳ ゴシック"/>
          <w:color w:val="auto"/>
          <w:sz w:val="21"/>
        </w:rPr>
        <w:t>)</w:t>
      </w:r>
    </w:p>
    <w:p>
      <w:pPr>
        <w:pStyle w:val="0"/>
        <w:ind w:left="864" w:leftChars="400"/>
        <w:rPr>
          <w:rFonts w:hint="eastAsia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Ｐ：共通仮設費対象額</w:t>
      </w:r>
      <w:r>
        <w:rPr>
          <w:rFonts w:hint="eastAsia" w:ascii="ＭＳ ゴシック" w:hAnsi="ＭＳ ゴシック" w:eastAsia="ＭＳ ゴシック"/>
          <w:color w:val="auto"/>
          <w:sz w:val="21"/>
        </w:rPr>
        <w:t xml:space="preserve"> </w:t>
      </w:r>
      <w:r>
        <w:rPr>
          <w:rFonts w:hint="eastAsia" w:ascii="ＭＳ ゴシック" w:hAnsi="ＭＳ ゴシック" w:eastAsia="ＭＳ ゴシック"/>
          <w:color w:val="auto"/>
          <w:sz w:val="21"/>
        </w:rPr>
        <w:t>Ａ、ｂ：工種毎に決まる係数</w:t>
      </w:r>
    </w:p>
    <w:p>
      <w:pPr>
        <w:pStyle w:val="0"/>
        <w:ind w:left="216" w:leftChars="100"/>
        <w:rPr>
          <w:rFonts w:hint="eastAsia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・共通仮設費率</w:t>
      </w:r>
      <w:r>
        <w:rPr>
          <w:rFonts w:hint="eastAsia" w:ascii="ＭＳ ゴシック" w:hAnsi="ＭＳ ゴシック" w:eastAsia="ＭＳ ゴシック"/>
          <w:color w:val="auto"/>
          <w:sz w:val="21"/>
        </w:rPr>
        <w:t>(</w:t>
      </w:r>
      <w:r>
        <w:rPr>
          <w:rFonts w:hint="eastAsia" w:ascii="ＭＳ ゴシック" w:hAnsi="ＭＳ ゴシック" w:eastAsia="ＭＳ ゴシック"/>
          <w:color w:val="auto"/>
          <w:sz w:val="21"/>
        </w:rPr>
        <w:t>施工地域補正後</w:t>
      </w:r>
      <w:r>
        <w:rPr>
          <w:rFonts w:hint="eastAsia" w:ascii="ＭＳ ゴシック" w:hAnsi="ＭＳ ゴシック" w:eastAsia="ＭＳ ゴシック"/>
          <w:color w:val="auto"/>
          <w:sz w:val="21"/>
        </w:rPr>
        <w:t>)</w:t>
      </w:r>
      <w:r>
        <w:rPr>
          <w:rFonts w:hint="eastAsia" w:ascii="ＭＳ ゴシック" w:hAnsi="ＭＳ ゴシック" w:eastAsia="ＭＳ ゴシック"/>
          <w:color w:val="auto"/>
          <w:sz w:val="21"/>
        </w:rPr>
        <w:t>【小数第３位四捨五入２位止め】</w:t>
      </w:r>
    </w:p>
    <w:p>
      <w:pPr>
        <w:pStyle w:val="0"/>
        <w:ind w:left="648" w:leftChars="300"/>
        <w:rPr>
          <w:rFonts w:hint="eastAsia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＝共通仮設費率</w:t>
      </w:r>
      <w:r>
        <w:rPr>
          <w:rFonts w:hint="eastAsia" w:ascii="ＭＳ ゴシック" w:hAnsi="ＭＳ ゴシック" w:eastAsia="ＭＳ ゴシック"/>
          <w:color w:val="auto"/>
          <w:sz w:val="21"/>
        </w:rPr>
        <w:t>(</w:t>
      </w:r>
      <w:r>
        <w:rPr>
          <w:rFonts w:hint="eastAsia" w:ascii="ＭＳ ゴシック" w:hAnsi="ＭＳ ゴシック" w:eastAsia="ＭＳ ゴシック"/>
          <w:color w:val="auto"/>
          <w:sz w:val="21"/>
        </w:rPr>
        <w:t>補正前</w:t>
      </w:r>
      <w:r>
        <w:rPr>
          <w:rFonts w:hint="eastAsia" w:ascii="ＭＳ ゴシック" w:hAnsi="ＭＳ ゴシック" w:eastAsia="ＭＳ ゴシック"/>
          <w:color w:val="auto"/>
          <w:sz w:val="21"/>
        </w:rPr>
        <w:t>)</w:t>
      </w:r>
      <w:r>
        <w:rPr>
          <w:rFonts w:hint="eastAsia" w:ascii="ＭＳ ゴシック" w:hAnsi="ＭＳ ゴシック" w:eastAsia="ＭＳ ゴシック"/>
          <w:color w:val="auto"/>
          <w:sz w:val="21"/>
        </w:rPr>
        <w:t>×施工地域補正係数</w:t>
      </w:r>
    </w:p>
    <w:p>
      <w:pPr>
        <w:pStyle w:val="0"/>
        <w:ind w:left="216" w:leftChars="100"/>
        <w:rPr>
          <w:rFonts w:hint="eastAsia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・共通仮設費率</w:t>
      </w:r>
      <w:r>
        <w:rPr>
          <w:rFonts w:hint="eastAsia" w:ascii="ＭＳ ゴシック" w:hAnsi="ＭＳ ゴシック" w:eastAsia="ＭＳ ゴシック"/>
          <w:color w:val="auto"/>
          <w:sz w:val="21"/>
        </w:rPr>
        <w:t>(</w:t>
      </w:r>
      <w:r>
        <w:rPr>
          <w:rFonts w:hint="eastAsia" w:ascii="ＭＳ ゴシック" w:hAnsi="ＭＳ ゴシック" w:eastAsia="ＭＳ ゴシック"/>
          <w:color w:val="auto"/>
          <w:sz w:val="21"/>
        </w:rPr>
        <w:t>週休２日の補正後</w:t>
      </w:r>
      <w:r>
        <w:rPr>
          <w:rFonts w:hint="eastAsia" w:ascii="ＭＳ ゴシック" w:hAnsi="ＭＳ ゴシック" w:eastAsia="ＭＳ ゴシック"/>
          <w:color w:val="auto"/>
          <w:sz w:val="21"/>
        </w:rPr>
        <w:t>)</w:t>
      </w:r>
      <w:r>
        <w:rPr>
          <w:rFonts w:hint="eastAsia" w:ascii="ＭＳ ゴシック" w:hAnsi="ＭＳ ゴシック" w:eastAsia="ＭＳ ゴシック"/>
          <w:color w:val="auto"/>
          <w:sz w:val="21"/>
        </w:rPr>
        <w:t>【小数第３位四捨五入２位止め】</w:t>
      </w:r>
    </w:p>
    <w:p>
      <w:pPr>
        <w:pStyle w:val="0"/>
        <w:ind w:left="648" w:leftChars="300"/>
        <w:rPr>
          <w:rFonts w:hint="eastAsia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＝共通仮設費率</w:t>
      </w:r>
      <w:r>
        <w:rPr>
          <w:rFonts w:hint="eastAsia" w:ascii="ＭＳ ゴシック" w:hAnsi="ＭＳ ゴシック" w:eastAsia="ＭＳ ゴシック"/>
          <w:color w:val="auto"/>
          <w:sz w:val="21"/>
        </w:rPr>
        <w:t>(</w:t>
      </w:r>
      <w:r>
        <w:rPr>
          <w:rFonts w:hint="eastAsia" w:ascii="ＭＳ ゴシック" w:hAnsi="ＭＳ ゴシック" w:eastAsia="ＭＳ ゴシック"/>
          <w:color w:val="auto"/>
          <w:sz w:val="21"/>
        </w:rPr>
        <w:t>施工地域補正後</w:t>
      </w:r>
      <w:r>
        <w:rPr>
          <w:rFonts w:hint="eastAsia" w:ascii="ＭＳ ゴシック" w:hAnsi="ＭＳ ゴシック" w:eastAsia="ＭＳ ゴシック"/>
          <w:color w:val="auto"/>
          <w:sz w:val="21"/>
        </w:rPr>
        <w:t>)</w:t>
      </w:r>
      <w:r>
        <w:rPr>
          <w:rFonts w:hint="eastAsia" w:ascii="ＭＳ ゴシック" w:hAnsi="ＭＳ ゴシック" w:eastAsia="ＭＳ ゴシック"/>
          <w:color w:val="auto"/>
          <w:sz w:val="21"/>
        </w:rPr>
        <w:t>×週休２日補正係数</w:t>
      </w:r>
    </w:p>
    <w:p>
      <w:pPr>
        <w:pStyle w:val="0"/>
        <w:rPr>
          <w:rFonts w:hint="eastAsia" w:ascii="ＭＳ ゴシック" w:hAnsi="ＭＳ ゴシック" w:eastAsia="ＭＳ ゴシック"/>
          <w:color w:val="auto"/>
          <w:sz w:val="21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21"/>
        </w:rPr>
        <w:t>○現場管理費率</w:t>
      </w:r>
    </w:p>
    <w:p>
      <w:pPr>
        <w:pStyle w:val="0"/>
        <w:ind w:left="216" w:leftChars="100"/>
        <w:rPr>
          <w:rFonts w:hint="eastAsia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・現場管理費率</w:t>
      </w:r>
      <w:r>
        <w:rPr>
          <w:rFonts w:hint="eastAsia" w:ascii="ＭＳ ゴシック" w:hAnsi="ＭＳ ゴシック" w:eastAsia="ＭＳ ゴシック"/>
          <w:color w:val="auto"/>
          <w:sz w:val="21"/>
        </w:rPr>
        <w:t>(</w:t>
      </w:r>
      <w:r>
        <w:rPr>
          <w:rFonts w:hint="eastAsia" w:ascii="ＭＳ ゴシック" w:hAnsi="ＭＳ ゴシック" w:eastAsia="ＭＳ ゴシック"/>
          <w:color w:val="auto"/>
          <w:sz w:val="21"/>
        </w:rPr>
        <w:t>補正前</w:t>
      </w:r>
      <w:r>
        <w:rPr>
          <w:rFonts w:hint="eastAsia" w:ascii="ＭＳ ゴシック" w:hAnsi="ＭＳ ゴシック" w:eastAsia="ＭＳ ゴシック"/>
          <w:color w:val="auto"/>
          <w:sz w:val="21"/>
        </w:rPr>
        <w:t>)</w:t>
      </w:r>
      <w:r>
        <w:rPr>
          <w:rFonts w:hint="eastAsia" w:ascii="ＭＳ ゴシック" w:hAnsi="ＭＳ ゴシック" w:eastAsia="ＭＳ ゴシック"/>
          <w:color w:val="auto"/>
          <w:sz w:val="21"/>
        </w:rPr>
        <w:t>【小数第３位四捨五入２位止め】</w:t>
      </w:r>
    </w:p>
    <w:p>
      <w:pPr>
        <w:pStyle w:val="0"/>
        <w:autoSpaceDE w:val="0"/>
        <w:autoSpaceDN w:val="0"/>
        <w:adjustRightInd w:val="0"/>
        <w:ind w:left="648" w:leftChars="300"/>
        <w:jc w:val="left"/>
        <w:rPr>
          <w:rFonts w:hint="eastAsia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Ｊ</w:t>
      </w:r>
      <w:r>
        <w:rPr>
          <w:rFonts w:hint="eastAsia" w:ascii="ＭＳ ゴシック" w:hAnsi="ＭＳ ゴシック" w:eastAsia="ＭＳ ゴシック"/>
          <w:color w:val="auto"/>
          <w:sz w:val="21"/>
          <w:vertAlign w:val="subscript"/>
        </w:rPr>
        <w:t>Ｏ</w:t>
      </w:r>
      <w:r>
        <w:rPr>
          <w:rFonts w:hint="eastAsia" w:ascii="ＭＳ ゴシック" w:hAnsi="ＭＳ ゴシック" w:eastAsia="ＭＳ ゴシック"/>
          <w:color w:val="auto"/>
          <w:sz w:val="21"/>
        </w:rPr>
        <w:t>=</w:t>
      </w:r>
      <w:r>
        <w:rPr>
          <w:rFonts w:hint="eastAsia" w:ascii="ＭＳ ゴシック" w:hAnsi="ＭＳ ゴシック" w:eastAsia="ＭＳ ゴシック"/>
          <w:color w:val="auto"/>
          <w:sz w:val="21"/>
        </w:rPr>
        <w:t>Ａ・Ｎｐ</w:t>
      </w:r>
      <w:r>
        <w:rPr>
          <w:rFonts w:hint="eastAsia" w:ascii="ＭＳ ゴシック" w:hAnsi="ＭＳ ゴシック" w:eastAsia="ＭＳ ゴシック"/>
          <w:color w:val="auto"/>
          <w:sz w:val="21"/>
          <w:vertAlign w:val="superscript"/>
        </w:rPr>
        <w:t>ｂ</w:t>
      </w:r>
    </w:p>
    <w:p>
      <w:pPr>
        <w:pStyle w:val="0"/>
        <w:ind w:left="864" w:leftChars="400"/>
        <w:rPr>
          <w:rFonts w:hint="eastAsia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Ｊ</w:t>
      </w:r>
      <w:r>
        <w:rPr>
          <w:rFonts w:hint="eastAsia" w:ascii="ＭＳ ゴシック" w:hAnsi="ＭＳ ゴシック" w:eastAsia="ＭＳ ゴシック"/>
          <w:color w:val="auto"/>
          <w:sz w:val="21"/>
          <w:vertAlign w:val="subscript"/>
        </w:rPr>
        <w:t>Ｏ</w:t>
      </w:r>
      <w:r>
        <w:rPr>
          <w:rFonts w:hint="eastAsia" w:ascii="ＭＳ ゴシック" w:hAnsi="ＭＳ ゴシック" w:eastAsia="ＭＳ ゴシック"/>
          <w:color w:val="auto"/>
          <w:sz w:val="21"/>
        </w:rPr>
        <w:t>：現場管理費率</w:t>
      </w:r>
      <w:r>
        <w:rPr>
          <w:rFonts w:hint="eastAsia" w:ascii="ＭＳ ゴシック" w:hAnsi="ＭＳ ゴシック" w:eastAsia="ＭＳ ゴシック"/>
          <w:color w:val="auto"/>
          <w:sz w:val="21"/>
        </w:rPr>
        <w:t>(%)</w:t>
      </w:r>
    </w:p>
    <w:p>
      <w:pPr>
        <w:pStyle w:val="0"/>
        <w:ind w:left="864" w:leftChars="400"/>
        <w:rPr>
          <w:rFonts w:hint="eastAsia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Ｎｐ：対象純工事費　Ａ、ｂ：工種毎に決まる係数</w:t>
      </w:r>
    </w:p>
    <w:p>
      <w:pPr>
        <w:pStyle w:val="0"/>
        <w:ind w:left="216" w:leftChars="100"/>
        <w:rPr>
          <w:rFonts w:hint="eastAsia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・現場管理費率</w:t>
      </w:r>
      <w:r>
        <w:rPr>
          <w:rFonts w:hint="eastAsia" w:ascii="ＭＳ ゴシック" w:hAnsi="ＭＳ ゴシック" w:eastAsia="ＭＳ ゴシック"/>
          <w:color w:val="auto"/>
          <w:sz w:val="21"/>
        </w:rPr>
        <w:t>(</w:t>
      </w:r>
      <w:r>
        <w:rPr>
          <w:rFonts w:hint="eastAsia" w:ascii="ＭＳ ゴシック" w:hAnsi="ＭＳ ゴシック" w:eastAsia="ＭＳ ゴシック"/>
          <w:color w:val="auto"/>
          <w:sz w:val="21"/>
        </w:rPr>
        <w:t>施工地域等補正後</w:t>
      </w:r>
      <w:r>
        <w:rPr>
          <w:rFonts w:hint="eastAsia" w:ascii="ＭＳ ゴシック" w:hAnsi="ＭＳ ゴシック" w:eastAsia="ＭＳ ゴシック"/>
          <w:color w:val="auto"/>
          <w:sz w:val="21"/>
        </w:rPr>
        <w:t>)</w:t>
      </w:r>
      <w:r>
        <w:rPr>
          <w:rFonts w:hint="eastAsia" w:ascii="ＭＳ ゴシック" w:hAnsi="ＭＳ ゴシック" w:eastAsia="ＭＳ ゴシック"/>
          <w:color w:val="auto"/>
          <w:sz w:val="21"/>
        </w:rPr>
        <w:t>【小数第３位四捨五入２位止め】</w:t>
      </w:r>
    </w:p>
    <w:p>
      <w:pPr>
        <w:pStyle w:val="0"/>
        <w:ind w:left="648" w:leftChars="300"/>
        <w:rPr>
          <w:rFonts w:hint="eastAsia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＝現場管理費率</w:t>
      </w:r>
      <w:r>
        <w:rPr>
          <w:rFonts w:hint="eastAsia" w:ascii="ＭＳ ゴシック" w:hAnsi="ＭＳ ゴシック" w:eastAsia="ＭＳ ゴシック"/>
          <w:color w:val="auto"/>
          <w:sz w:val="21"/>
        </w:rPr>
        <w:t>(</w:t>
      </w:r>
      <w:r>
        <w:rPr>
          <w:rFonts w:hint="eastAsia" w:ascii="ＭＳ ゴシック" w:hAnsi="ＭＳ ゴシック" w:eastAsia="ＭＳ ゴシック"/>
          <w:color w:val="auto"/>
          <w:sz w:val="21"/>
        </w:rPr>
        <w:t>補正前</w:t>
      </w:r>
      <w:r>
        <w:rPr>
          <w:rFonts w:hint="eastAsia" w:ascii="ＭＳ ゴシック" w:hAnsi="ＭＳ ゴシック" w:eastAsia="ＭＳ ゴシック"/>
          <w:color w:val="auto"/>
          <w:sz w:val="21"/>
        </w:rPr>
        <w:t>)</w:t>
      </w:r>
      <w:r>
        <w:rPr>
          <w:rFonts w:hint="eastAsia" w:ascii="ＭＳ ゴシック" w:hAnsi="ＭＳ ゴシック" w:eastAsia="ＭＳ ゴシック"/>
          <w:color w:val="auto"/>
          <w:sz w:val="21"/>
        </w:rPr>
        <w:t>×施工地域補正係数＋補正値</w:t>
      </w:r>
    </w:p>
    <w:p>
      <w:pPr>
        <w:pStyle w:val="0"/>
        <w:ind w:left="216" w:leftChars="100"/>
        <w:rPr>
          <w:rFonts w:hint="eastAsia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・現場管理費率</w:t>
      </w:r>
      <w:r>
        <w:rPr>
          <w:rFonts w:hint="eastAsia" w:ascii="ＭＳ ゴシック" w:hAnsi="ＭＳ ゴシック" w:eastAsia="ＭＳ ゴシック"/>
          <w:color w:val="auto"/>
          <w:sz w:val="21"/>
        </w:rPr>
        <w:t>(</w:t>
      </w:r>
      <w:r>
        <w:rPr>
          <w:rFonts w:hint="eastAsia" w:ascii="ＭＳ ゴシック" w:hAnsi="ＭＳ ゴシック" w:eastAsia="ＭＳ ゴシック"/>
          <w:color w:val="auto"/>
          <w:sz w:val="21"/>
        </w:rPr>
        <w:t>週休２日の補正後</w:t>
      </w:r>
      <w:r>
        <w:rPr>
          <w:rFonts w:hint="eastAsia" w:ascii="ＭＳ ゴシック" w:hAnsi="ＭＳ ゴシック" w:eastAsia="ＭＳ ゴシック"/>
          <w:color w:val="auto"/>
          <w:sz w:val="21"/>
        </w:rPr>
        <w:t>)</w:t>
      </w:r>
      <w:r>
        <w:rPr>
          <w:rFonts w:hint="eastAsia" w:ascii="ＭＳ ゴシック" w:hAnsi="ＭＳ ゴシック" w:eastAsia="ＭＳ ゴシック"/>
          <w:color w:val="auto"/>
          <w:sz w:val="21"/>
        </w:rPr>
        <w:t>【小数第３位四捨五入２位止め】</w:t>
      </w:r>
    </w:p>
    <w:p>
      <w:pPr>
        <w:pStyle w:val="0"/>
        <w:ind w:left="648" w:leftChars="300"/>
        <w:rPr>
          <w:rFonts w:hint="eastAsia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＝現場管理費率</w:t>
      </w:r>
      <w:r>
        <w:rPr>
          <w:rFonts w:hint="eastAsia" w:ascii="ＭＳ ゴシック" w:hAnsi="ＭＳ ゴシック" w:eastAsia="ＭＳ ゴシック"/>
          <w:color w:val="auto"/>
          <w:sz w:val="21"/>
        </w:rPr>
        <w:t>(</w:t>
      </w:r>
      <w:r>
        <w:rPr>
          <w:rFonts w:hint="eastAsia" w:ascii="ＭＳ ゴシック" w:hAnsi="ＭＳ ゴシック" w:eastAsia="ＭＳ ゴシック"/>
          <w:color w:val="auto"/>
          <w:sz w:val="21"/>
        </w:rPr>
        <w:t>施工地域等補正後</w:t>
      </w:r>
      <w:r>
        <w:rPr>
          <w:rFonts w:hint="eastAsia" w:ascii="ＭＳ ゴシック" w:hAnsi="ＭＳ ゴシック" w:eastAsia="ＭＳ ゴシック"/>
          <w:color w:val="auto"/>
          <w:sz w:val="21"/>
        </w:rPr>
        <w:t>)</w:t>
      </w:r>
      <w:r>
        <w:rPr>
          <w:rFonts w:hint="eastAsia" w:ascii="ＭＳ ゴシック" w:hAnsi="ＭＳ ゴシック" w:eastAsia="ＭＳ ゴシック"/>
          <w:color w:val="auto"/>
          <w:sz w:val="21"/>
        </w:rPr>
        <w:t>×週休２日補正係数</w:t>
      </w:r>
    </w:p>
    <w:p>
      <w:pPr>
        <w:pStyle w:val="0"/>
        <w:rPr>
          <w:rFonts w:hint="eastAsia" w:ascii="ＭＳ ゴシック" w:hAnsi="ＭＳ ゴシック" w:eastAsia="ＭＳ ゴシック"/>
          <w:color w:val="auto"/>
          <w:sz w:val="21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21"/>
        </w:rPr>
        <w:t>○市場単価</w:t>
      </w:r>
    </w:p>
    <w:p>
      <w:pPr>
        <w:pStyle w:val="0"/>
        <w:ind w:left="216" w:leftChars="100"/>
        <w:rPr>
          <w:rFonts w:hint="eastAsia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・市場単価</w:t>
      </w:r>
      <w:r>
        <w:rPr>
          <w:rFonts w:hint="eastAsia" w:ascii="ＭＳ ゴシック" w:hAnsi="ＭＳ ゴシック" w:eastAsia="ＭＳ ゴシック"/>
          <w:color w:val="auto"/>
          <w:sz w:val="21"/>
        </w:rPr>
        <w:t>(</w:t>
      </w:r>
      <w:r>
        <w:rPr>
          <w:rFonts w:hint="eastAsia" w:ascii="ＭＳ ゴシック" w:hAnsi="ＭＳ ゴシック" w:eastAsia="ＭＳ ゴシック"/>
          <w:color w:val="auto"/>
          <w:sz w:val="21"/>
        </w:rPr>
        <w:t>週休２日の補正後</w:t>
      </w:r>
      <w:r>
        <w:rPr>
          <w:rFonts w:hint="eastAsia" w:ascii="ＭＳ ゴシック" w:hAnsi="ＭＳ ゴシック" w:eastAsia="ＭＳ ゴシック"/>
          <w:color w:val="auto"/>
          <w:sz w:val="21"/>
        </w:rPr>
        <w:t>)</w:t>
      </w:r>
      <w:r>
        <w:rPr>
          <w:rFonts w:hint="eastAsia" w:ascii="ＭＳ ゴシック" w:hAnsi="ＭＳ ゴシック" w:eastAsia="ＭＳ ゴシック"/>
          <w:color w:val="auto"/>
          <w:sz w:val="21"/>
        </w:rPr>
        <w:t>【円未満切捨】</w:t>
      </w:r>
    </w:p>
    <w:p>
      <w:pPr>
        <w:pStyle w:val="0"/>
        <w:ind w:left="648" w:leftChars="300"/>
        <w:rPr>
          <w:rFonts w:hint="eastAsia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＝市場単価</w:t>
      </w:r>
      <w:r>
        <w:rPr>
          <w:rFonts w:hint="eastAsia" w:ascii="ＭＳ ゴシック" w:hAnsi="ＭＳ ゴシック" w:eastAsia="ＭＳ ゴシック"/>
          <w:color w:val="auto"/>
          <w:sz w:val="21"/>
        </w:rPr>
        <w:t>(</w:t>
      </w:r>
      <w:r>
        <w:rPr>
          <w:rFonts w:hint="eastAsia" w:ascii="ＭＳ ゴシック" w:hAnsi="ＭＳ ゴシック" w:eastAsia="ＭＳ ゴシック"/>
          <w:color w:val="auto"/>
          <w:sz w:val="21"/>
        </w:rPr>
        <w:t>基準額</w:t>
      </w:r>
      <w:r>
        <w:rPr>
          <w:rFonts w:hint="eastAsia" w:ascii="ＭＳ ゴシック" w:hAnsi="ＭＳ ゴシック" w:eastAsia="ＭＳ ゴシック"/>
          <w:color w:val="auto"/>
          <w:sz w:val="21"/>
        </w:rPr>
        <w:t>)</w:t>
      </w:r>
      <w:r>
        <w:rPr>
          <w:rFonts w:hint="eastAsia" w:ascii="ＭＳ ゴシック" w:hAnsi="ＭＳ ゴシック" w:eastAsia="ＭＳ ゴシック"/>
          <w:color w:val="auto"/>
          <w:sz w:val="21"/>
        </w:rPr>
        <w:t>×週休２日補正係数</w:t>
      </w:r>
    </w:p>
    <w:p>
      <w:pPr>
        <w:pStyle w:val="0"/>
        <w:ind w:left="216" w:leftChars="100"/>
        <w:rPr>
          <w:rFonts w:hint="eastAsia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・市場単価</w:t>
      </w:r>
      <w:r>
        <w:rPr>
          <w:rFonts w:hint="eastAsia" w:ascii="ＭＳ ゴシック" w:hAnsi="ＭＳ ゴシック" w:eastAsia="ＭＳ ゴシック"/>
          <w:color w:val="auto"/>
          <w:sz w:val="21"/>
        </w:rPr>
        <w:t>(</w:t>
      </w:r>
      <w:r>
        <w:rPr>
          <w:rFonts w:hint="eastAsia" w:ascii="ＭＳ ゴシック" w:hAnsi="ＭＳ ゴシック" w:eastAsia="ＭＳ ゴシック"/>
          <w:color w:val="auto"/>
          <w:sz w:val="21"/>
        </w:rPr>
        <w:t>施工規模等の補正後</w:t>
      </w:r>
      <w:r>
        <w:rPr>
          <w:rFonts w:hint="eastAsia" w:ascii="ＭＳ ゴシック" w:hAnsi="ＭＳ ゴシック" w:eastAsia="ＭＳ ゴシック"/>
          <w:color w:val="auto"/>
          <w:sz w:val="21"/>
        </w:rPr>
        <w:t>)</w:t>
      </w:r>
      <w:r>
        <w:rPr>
          <w:rFonts w:hint="eastAsia" w:ascii="ＭＳ ゴシック" w:hAnsi="ＭＳ ゴシック" w:eastAsia="ＭＳ ゴシック"/>
          <w:color w:val="auto"/>
          <w:sz w:val="21"/>
        </w:rPr>
        <w:t>【円未満切捨】</w:t>
      </w:r>
    </w:p>
    <w:p>
      <w:pPr>
        <w:pStyle w:val="0"/>
        <w:ind w:left="648" w:leftChars="300"/>
        <w:rPr>
          <w:rFonts w:hint="eastAsia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＝市場単価</w:t>
      </w:r>
      <w:r>
        <w:rPr>
          <w:rFonts w:hint="eastAsia" w:ascii="ＭＳ ゴシック" w:hAnsi="ＭＳ ゴシック" w:eastAsia="ＭＳ ゴシック"/>
          <w:color w:val="auto"/>
          <w:sz w:val="21"/>
        </w:rPr>
        <w:t>(</w:t>
      </w:r>
      <w:r>
        <w:rPr>
          <w:rFonts w:hint="eastAsia" w:ascii="ＭＳ ゴシック" w:hAnsi="ＭＳ ゴシック" w:eastAsia="ＭＳ ゴシック"/>
          <w:color w:val="auto"/>
          <w:sz w:val="21"/>
        </w:rPr>
        <w:t>週休２日の補正後</w:t>
      </w:r>
      <w:r>
        <w:rPr>
          <w:rFonts w:hint="eastAsia" w:ascii="ＭＳ ゴシック" w:hAnsi="ＭＳ ゴシック" w:eastAsia="ＭＳ ゴシック"/>
          <w:color w:val="auto"/>
          <w:sz w:val="21"/>
        </w:rPr>
        <w:t>)</w:t>
      </w:r>
      <w:r>
        <w:rPr>
          <w:rFonts w:hint="eastAsia" w:ascii="ＭＳ ゴシック" w:hAnsi="ＭＳ ゴシック" w:eastAsia="ＭＳ ゴシック"/>
          <w:color w:val="auto"/>
          <w:sz w:val="21"/>
        </w:rPr>
        <w:t>×施工規模等の補正係数</w:t>
      </w:r>
    </w:p>
    <w:p>
      <w:pPr>
        <w:pStyle w:val="0"/>
        <w:ind w:left="432" w:leftChars="100" w:hanging="216" w:hangingChars="100"/>
        <w:rPr>
          <w:rFonts w:hint="eastAsia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※</w:t>
      </w:r>
      <w:r>
        <w:rPr>
          <w:rFonts w:hint="eastAsia" w:ascii="ＭＳ ゴシック" w:hAnsi="ＭＳ ゴシック" w:eastAsia="ＭＳ ゴシック"/>
          <w:color w:val="auto"/>
          <w:sz w:val="21"/>
          <w:u w:val="single" w:color="auto"/>
        </w:rPr>
        <w:t>市場単価は、週休２日の補正【円未満切捨】→施工規模等の補正【円未満切捨】の順に補正する。</w:t>
      </w:r>
    </w:p>
    <w:p>
      <w:pPr>
        <w:pStyle w:val="0"/>
        <w:rPr>
          <w:rFonts w:hint="eastAsia" w:ascii="ＭＳ ゴシック" w:hAnsi="ＭＳ ゴシック" w:eastAsia="ＭＳ ゴシック"/>
          <w:color w:val="auto"/>
          <w:sz w:val="21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21"/>
        </w:rPr>
        <w:t>週休２日工事の補正係数について</w:t>
      </w:r>
    </w:p>
    <w:p>
      <w:pPr>
        <w:pStyle w:val="0"/>
        <w:jc w:val="center"/>
        <w:rPr>
          <w:rFonts w:hint="eastAsia" w:ascii="ＭＳ ゴシック" w:hAnsi="ＭＳ ゴシック" w:eastAsia="ＭＳ ゴシック"/>
          <w:color w:val="auto"/>
          <w:sz w:val="21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color w:val="auto"/>
          <w:sz w:val="21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21"/>
        </w:rPr>
        <w:t>②週休２日工事</w:t>
      </w:r>
      <w:r>
        <w:rPr>
          <w:rFonts w:hint="eastAsia" w:ascii="ＭＳ ゴシック" w:hAnsi="ＭＳ ゴシック" w:eastAsia="ＭＳ ゴシック"/>
          <w:b w:val="1"/>
          <w:color w:val="auto"/>
          <w:sz w:val="21"/>
        </w:rPr>
        <w:t>(</w:t>
      </w:r>
      <w:r>
        <w:rPr>
          <w:rFonts w:hint="eastAsia" w:ascii="ＭＳ ゴシック" w:hAnsi="ＭＳ ゴシック" w:eastAsia="ＭＳ ゴシック"/>
          <w:b w:val="1"/>
          <w:color w:val="auto"/>
          <w:sz w:val="21"/>
        </w:rPr>
        <w:t>受注者希望型</w:t>
      </w:r>
      <w:r>
        <w:rPr>
          <w:rFonts w:hint="eastAsia" w:ascii="ＭＳ ゴシック" w:hAnsi="ＭＳ ゴシック" w:eastAsia="ＭＳ ゴシック"/>
          <w:b w:val="1"/>
          <w:color w:val="auto"/>
          <w:sz w:val="21"/>
        </w:rPr>
        <w:t>)</w:t>
      </w:r>
    </w:p>
    <w:p>
      <w:pPr>
        <w:pStyle w:val="0"/>
        <w:rPr>
          <w:rFonts w:hint="eastAsia" w:ascii="ＭＳ ゴシック" w:hAnsi="ＭＳ ゴシック" w:eastAsia="ＭＳ ゴシック"/>
          <w:color w:val="auto"/>
          <w:sz w:val="21"/>
        </w:rPr>
      </w:pPr>
    </w:p>
    <w:p>
      <w:pPr>
        <w:pStyle w:val="0"/>
        <w:ind w:left="216" w:hanging="216" w:hangingChars="100"/>
        <w:rPr>
          <w:rFonts w:hint="eastAsia" w:ascii="ＭＳ ゴシック" w:hAnsi="ＭＳ ゴシック" w:eastAsia="ＭＳ ゴシック"/>
          <w:b w:val="1"/>
          <w:color w:val="auto"/>
          <w:sz w:val="21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21"/>
        </w:rPr>
        <w:t>○「土木工事標準積算基準」「機械設備積算基準」「治山林道必携」の場合</w:t>
      </w:r>
    </w:p>
    <w:tbl>
      <w:tblPr>
        <w:tblStyle w:val="11"/>
        <w:tblW w:w="0" w:type="auto"/>
        <w:jc w:val="center"/>
        <w:tblInd w:w="0" w:type="dxa"/>
        <w:tblLayout w:type="fixed"/>
        <w:tblLook w:firstRow="1" w:lastRow="1" w:firstColumn="1" w:lastColumn="1" w:noHBand="0" w:noVBand="0" w:val="01E0"/>
      </w:tblPr>
      <w:tblGrid>
        <w:gridCol w:w="1714"/>
        <w:gridCol w:w="1502"/>
        <w:gridCol w:w="2040"/>
        <w:gridCol w:w="1699"/>
        <w:gridCol w:w="1704"/>
      </w:tblGrid>
      <w:tr>
        <w:trPr>
          <w:trHeight w:val="379" w:hRule="exac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  <w:color w:val="auto"/>
                <w:sz w:val="10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労務費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機械経費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(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賃料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)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共通仮設費率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現場管理費率</w:t>
            </w:r>
          </w:p>
        </w:tc>
      </w:tr>
      <w:tr>
        <w:trPr>
          <w:trHeight w:val="737" w:hRule="exac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8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4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週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6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休以上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4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週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7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休未満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1.01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1.01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1.02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1.03</w:t>
            </w:r>
          </w:p>
        </w:tc>
      </w:tr>
      <w:tr>
        <w:trPr>
          <w:trHeight w:val="737" w:hRule="exac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8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4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週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7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休以上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4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週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8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休未満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1.03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1.03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1.03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1.04</w:t>
            </w:r>
          </w:p>
        </w:tc>
      </w:tr>
      <w:tr>
        <w:trPr>
          <w:trHeight w:val="737" w:hRule="exac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4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週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8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休以上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1.05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1.04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1.04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1.06</w:t>
            </w:r>
          </w:p>
        </w:tc>
      </w:tr>
    </w:tbl>
    <w:p>
      <w:pPr>
        <w:pStyle w:val="0"/>
        <w:ind w:left="216" w:leftChars="100"/>
        <w:rPr>
          <w:rFonts w:hint="eastAsia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※　労務費は、「公共工事設計労務単価」を対象とする。</w:t>
      </w:r>
    </w:p>
    <w:p>
      <w:pPr>
        <w:pStyle w:val="0"/>
        <w:ind w:left="216" w:leftChars="100"/>
        <w:rPr>
          <w:rFonts w:hint="eastAsia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※　工場製作など製作原価にかかる部分については、対象外とする。</w:t>
      </w:r>
    </w:p>
    <w:p>
      <w:pPr>
        <w:pStyle w:val="0"/>
        <w:rPr>
          <w:rFonts w:hint="eastAsia" w:ascii="ＭＳ ゴシック" w:hAnsi="ＭＳ ゴシック" w:eastAsia="ＭＳ ゴシック"/>
          <w:color w:val="auto"/>
          <w:sz w:val="21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color w:val="auto"/>
          <w:sz w:val="21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21"/>
        </w:rPr>
        <w:t>○「土地改良工事積算基準</w:t>
      </w:r>
      <w:r>
        <w:rPr>
          <w:rFonts w:hint="eastAsia" w:ascii="ＭＳ ゴシック" w:hAnsi="ＭＳ ゴシック" w:eastAsia="ＭＳ ゴシック"/>
          <w:b w:val="1"/>
          <w:color w:val="auto"/>
          <w:sz w:val="21"/>
        </w:rPr>
        <w:t>(</w:t>
      </w:r>
      <w:r>
        <w:rPr>
          <w:rFonts w:hint="eastAsia" w:ascii="ＭＳ ゴシック" w:hAnsi="ＭＳ ゴシック" w:eastAsia="ＭＳ ゴシック"/>
          <w:b w:val="1"/>
          <w:color w:val="auto"/>
          <w:sz w:val="21"/>
        </w:rPr>
        <w:t>土木工事</w:t>
      </w:r>
      <w:r>
        <w:rPr>
          <w:rFonts w:hint="eastAsia" w:ascii="ＭＳ ゴシック" w:hAnsi="ＭＳ ゴシック" w:eastAsia="ＭＳ ゴシック"/>
          <w:b w:val="1"/>
          <w:color w:val="auto"/>
          <w:sz w:val="21"/>
        </w:rPr>
        <w:t>)</w:t>
      </w:r>
      <w:r>
        <w:rPr>
          <w:rFonts w:hint="eastAsia" w:ascii="ＭＳ ゴシック" w:hAnsi="ＭＳ ゴシック" w:eastAsia="ＭＳ ゴシック"/>
          <w:b w:val="1"/>
          <w:color w:val="auto"/>
          <w:sz w:val="21"/>
        </w:rPr>
        <w:t>及び</w:t>
      </w:r>
      <w:r>
        <w:rPr>
          <w:rFonts w:hint="eastAsia" w:ascii="ＭＳ ゴシック" w:hAnsi="ＭＳ ゴシック" w:eastAsia="ＭＳ ゴシック"/>
          <w:b w:val="1"/>
          <w:color w:val="auto"/>
          <w:sz w:val="21"/>
        </w:rPr>
        <w:t>(</w:t>
      </w:r>
      <w:r>
        <w:rPr>
          <w:rFonts w:hint="eastAsia" w:ascii="ＭＳ ゴシック" w:hAnsi="ＭＳ ゴシック" w:eastAsia="ＭＳ ゴシック"/>
          <w:b w:val="1"/>
          <w:color w:val="auto"/>
          <w:sz w:val="21"/>
        </w:rPr>
        <w:t>施設機械</w:t>
      </w:r>
      <w:r>
        <w:rPr>
          <w:rFonts w:hint="eastAsia" w:ascii="ＭＳ ゴシック" w:hAnsi="ＭＳ ゴシック" w:eastAsia="ＭＳ ゴシック"/>
          <w:b w:val="1"/>
          <w:color w:val="auto"/>
          <w:sz w:val="21"/>
        </w:rPr>
        <w:t>)</w:t>
      </w:r>
      <w:r>
        <w:rPr>
          <w:rFonts w:hint="eastAsia" w:ascii="ＭＳ ゴシック" w:hAnsi="ＭＳ ゴシック" w:eastAsia="ＭＳ ゴシック"/>
          <w:b w:val="1"/>
          <w:color w:val="auto"/>
          <w:sz w:val="21"/>
        </w:rPr>
        <w:t>」の場合</w:t>
      </w:r>
    </w:p>
    <w:tbl>
      <w:tblPr>
        <w:tblStyle w:val="11"/>
        <w:tblW w:w="0" w:type="auto"/>
        <w:jc w:val="center"/>
        <w:tblInd w:w="0" w:type="dxa"/>
        <w:tblLayout w:type="fixed"/>
        <w:tblLook w:firstRow="1" w:lastRow="1" w:firstColumn="1" w:lastColumn="1" w:noHBand="0" w:noVBand="0" w:val="01E0"/>
      </w:tblPr>
      <w:tblGrid>
        <w:gridCol w:w="1714"/>
        <w:gridCol w:w="1502"/>
        <w:gridCol w:w="2040"/>
        <w:gridCol w:w="1699"/>
        <w:gridCol w:w="1704"/>
      </w:tblGrid>
      <w:tr>
        <w:trPr>
          <w:trHeight w:val="379" w:hRule="exac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  <w:color w:val="auto"/>
                <w:sz w:val="10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労務費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機械経費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(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賃料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)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共通仮設費率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現場管理費率</w:t>
            </w:r>
          </w:p>
        </w:tc>
      </w:tr>
      <w:tr>
        <w:trPr>
          <w:trHeight w:val="737" w:hRule="exac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8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4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週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6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休以上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4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週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7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休未満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1.01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1.01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1.02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1.05</w:t>
            </w:r>
          </w:p>
        </w:tc>
      </w:tr>
      <w:tr>
        <w:trPr>
          <w:trHeight w:val="737" w:hRule="exac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8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4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週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7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休以上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4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週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8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休未満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1.03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1.03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1.03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1.07</w:t>
            </w:r>
          </w:p>
        </w:tc>
      </w:tr>
      <w:tr>
        <w:trPr>
          <w:trHeight w:val="737" w:hRule="exac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4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週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8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休以上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1.05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1.04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1.04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hd w:val="clear" w:color="auto" w:fill="auto"/>
              </w:rPr>
              <w:t>1.09</w:t>
            </w:r>
          </w:p>
        </w:tc>
      </w:tr>
    </w:tbl>
    <w:p>
      <w:pPr>
        <w:pStyle w:val="0"/>
        <w:ind w:left="216" w:leftChars="100"/>
        <w:rPr>
          <w:rFonts w:hint="eastAsia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※　労務費は、「公共工事設計労務単価」を対象とする。</w:t>
      </w:r>
    </w:p>
    <w:p>
      <w:pPr>
        <w:pStyle w:val="0"/>
        <w:ind w:left="216" w:leftChars="100"/>
        <w:rPr>
          <w:rFonts w:hint="eastAsia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※　工場製作など製作原価にかかる部分については、対象外とする。</w:t>
      </w:r>
    </w:p>
    <w:p>
      <w:pPr>
        <w:pStyle w:val="0"/>
        <w:rPr>
          <w:rFonts w:hint="eastAsia" w:ascii="ＭＳ ゴシック" w:hAnsi="ＭＳ ゴシック" w:eastAsia="ＭＳ ゴシック"/>
          <w:color w:val="auto"/>
          <w:sz w:val="21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color w:val="auto"/>
          <w:sz w:val="21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21"/>
        </w:rPr>
        <w:t>○「港湾請負工事積算基準」「漁港漁場関係工事積算基準」の場合</w:t>
      </w:r>
    </w:p>
    <w:p>
      <w:pPr>
        <w:pStyle w:val="0"/>
        <w:ind w:left="216" w:leftChars="100"/>
        <w:rPr>
          <w:rFonts w:hint="eastAsia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笠岡市週休２日工事実施要領</w:t>
      </w:r>
      <w:r>
        <w:rPr>
          <w:rFonts w:hint="eastAsia" w:ascii="ＭＳ ゴシック" w:hAnsi="ＭＳ ゴシック" w:eastAsia="ＭＳ ゴシック"/>
          <w:color w:val="auto"/>
          <w:sz w:val="21"/>
        </w:rPr>
        <w:t>(</w:t>
      </w:r>
      <w:r>
        <w:rPr>
          <w:rFonts w:hint="eastAsia" w:ascii="ＭＳ ゴシック" w:hAnsi="ＭＳ ゴシック" w:eastAsia="ＭＳ ゴシック"/>
          <w:color w:val="auto"/>
          <w:sz w:val="21"/>
        </w:rPr>
        <w:t>港湾・漁港工事</w:t>
      </w:r>
      <w:r>
        <w:rPr>
          <w:rFonts w:hint="eastAsia" w:ascii="ＭＳ ゴシック" w:hAnsi="ＭＳ ゴシック" w:eastAsia="ＭＳ ゴシック"/>
          <w:color w:val="auto"/>
          <w:sz w:val="21"/>
        </w:rPr>
        <w:t>)</w:t>
      </w:r>
      <w:r>
        <w:rPr>
          <w:rFonts w:hint="eastAsia" w:ascii="ＭＳ ゴシック" w:hAnsi="ＭＳ ゴシック" w:eastAsia="ＭＳ ゴシック"/>
          <w:color w:val="auto"/>
          <w:sz w:val="21"/>
        </w:rPr>
        <w:t>による</w:t>
      </w:r>
    </w:p>
    <w:p>
      <w:pPr>
        <w:pStyle w:val="0"/>
        <w:rPr>
          <w:rFonts w:hint="eastAsia" w:ascii="ＭＳ ゴシック" w:hAnsi="ＭＳ ゴシック" w:eastAsia="ＭＳ ゴシック"/>
          <w:color w:val="auto"/>
          <w:sz w:val="21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sz w:val="21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sz w:val="21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sz w:val="21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sz w:val="21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sz w:val="21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sz w:val="21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sz w:val="21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sz w:val="21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sz w:val="21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sz w:val="21"/>
        </w:rPr>
      </w:pPr>
      <w:bookmarkStart w:id="0" w:name="_GoBack"/>
      <w:bookmarkEnd w:id="0"/>
    </w:p>
    <w:p>
      <w:pPr>
        <w:pStyle w:val="0"/>
        <w:rPr>
          <w:rFonts w:hint="eastAsia" w:ascii="ＭＳ ゴシック" w:hAnsi="ＭＳ ゴシック" w:eastAsia="ＭＳ ゴシック"/>
          <w:color w:val="auto"/>
          <w:sz w:val="21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○市場単価などの取扱い</w:t>
      </w:r>
    </w:p>
    <w:p>
      <w:pPr>
        <w:pStyle w:val="0"/>
        <w:rPr>
          <w:rFonts w:hint="eastAsia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・「土木工事市場単価」⇒工種ごとに以下の補正係数を適用</w:t>
      </w:r>
    </w:p>
    <w:tbl>
      <w:tblPr>
        <w:tblStyle w:val="11"/>
        <w:tblW w:w="8683" w:type="dxa"/>
        <w:jc w:val="left"/>
        <w:tblInd w:w="0" w:type="dxa"/>
        <w:tblLayout w:type="fixed"/>
        <w:tblLook w:firstRow="1" w:lastRow="1" w:firstColumn="1" w:lastColumn="1" w:noHBand="0" w:noVBand="0" w:val="01E0"/>
      </w:tblPr>
      <w:tblGrid>
        <w:gridCol w:w="4080"/>
        <w:gridCol w:w="1123"/>
        <w:gridCol w:w="1157"/>
        <w:gridCol w:w="1157"/>
        <w:gridCol w:w="1166"/>
      </w:tblGrid>
      <w:tr>
        <w:trPr>
          <w:trHeight w:val="264" w:hRule="exact"/>
        </w:trPr>
        <w:tc>
          <w:tcPr>
            <w:tcW w:w="408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ADADA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名称</w:t>
            </w: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ADADA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区分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ADADA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補正係数</w:t>
            </w:r>
          </w:p>
        </w:tc>
      </w:tr>
      <w:tr>
        <w:trPr>
          <w:trHeight w:val="567" w:hRule="exact"/>
        </w:trPr>
        <w:tc>
          <w:tcPr>
            <w:tcW w:w="408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ADAD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2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ADAD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ADADA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00" w:lineRule="exact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4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週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6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休以上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4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週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7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休未満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ADADA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00" w:lineRule="exact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4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週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7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休以上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4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週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8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休未満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ADADA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00" w:lineRule="exact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4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週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8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休以上</w:t>
            </w:r>
          </w:p>
        </w:tc>
      </w:tr>
      <w:tr>
        <w:trPr>
          <w:trHeight w:val="240" w:hRule="exact"/>
        </w:trPr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鉄筋工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1.01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1.03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1.05</w:t>
            </w:r>
          </w:p>
        </w:tc>
      </w:tr>
      <w:tr>
        <w:trPr>
          <w:trHeight w:val="240" w:hRule="exact"/>
        </w:trPr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ガス圧接工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1.01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1.02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1.04</w:t>
            </w:r>
          </w:p>
        </w:tc>
      </w:tr>
      <w:tr>
        <w:trPr>
          <w:trHeight w:val="240" w:hRule="exact"/>
        </w:trPr>
        <w:tc>
          <w:tcPr>
            <w:tcW w:w="408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インターロッキングブロック工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設置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1.00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1.01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1.02</w:t>
            </w:r>
          </w:p>
        </w:tc>
      </w:tr>
      <w:tr>
        <w:trPr>
          <w:trHeight w:val="240" w:hRule="exact"/>
        </w:trPr>
        <w:tc>
          <w:tcPr>
            <w:tcW w:w="408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撤去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1.01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1.03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1.05</w:t>
            </w:r>
          </w:p>
        </w:tc>
      </w:tr>
      <w:tr>
        <w:trPr>
          <w:trHeight w:val="240" w:hRule="exact"/>
        </w:trPr>
        <w:tc>
          <w:tcPr>
            <w:tcW w:w="408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防護柵設置工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(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ガードレール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)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設置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1.00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1.01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1.01</w:t>
            </w:r>
          </w:p>
        </w:tc>
      </w:tr>
      <w:tr>
        <w:trPr>
          <w:trHeight w:val="245" w:hRule="exact"/>
        </w:trPr>
        <w:tc>
          <w:tcPr>
            <w:tcW w:w="408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撤去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1.01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1.03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1.05</w:t>
            </w:r>
          </w:p>
        </w:tc>
      </w:tr>
      <w:tr>
        <w:trPr>
          <w:trHeight w:val="240" w:hRule="exact"/>
        </w:trPr>
        <w:tc>
          <w:tcPr>
            <w:tcW w:w="408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防護柵設置工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(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ガードパイプ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)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設置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1.00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1.01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1.01</w:t>
            </w:r>
          </w:p>
        </w:tc>
      </w:tr>
      <w:tr>
        <w:trPr>
          <w:trHeight w:val="240" w:hRule="exact"/>
        </w:trPr>
        <w:tc>
          <w:tcPr>
            <w:tcW w:w="408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撤去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1.01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1.03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1.05</w:t>
            </w:r>
          </w:p>
        </w:tc>
      </w:tr>
      <w:tr>
        <w:trPr>
          <w:trHeight w:val="240" w:hRule="exact"/>
        </w:trPr>
        <w:tc>
          <w:tcPr>
            <w:tcW w:w="408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防護柵設置工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(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横断・転落防止柵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)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設置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1.01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1.03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1.04</w:t>
            </w:r>
          </w:p>
        </w:tc>
      </w:tr>
      <w:tr>
        <w:trPr>
          <w:trHeight w:val="240" w:hRule="exact"/>
        </w:trPr>
        <w:tc>
          <w:tcPr>
            <w:tcW w:w="408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撤去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1.01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1.03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1.05</w:t>
            </w:r>
          </w:p>
        </w:tc>
      </w:tr>
      <w:tr>
        <w:trPr>
          <w:trHeight w:val="240" w:hRule="exact"/>
        </w:trPr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防護柵設置工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(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落石防護柵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)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1.00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1.01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1.02</w:t>
            </w:r>
          </w:p>
        </w:tc>
      </w:tr>
      <w:tr>
        <w:trPr>
          <w:trHeight w:val="240" w:hRule="exact"/>
        </w:trPr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防護柵設置工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(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落石防止網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)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1.01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1.02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1.03</w:t>
            </w:r>
          </w:p>
        </w:tc>
      </w:tr>
      <w:tr>
        <w:trPr>
          <w:trHeight w:val="245" w:hRule="exact"/>
        </w:trPr>
        <w:tc>
          <w:tcPr>
            <w:tcW w:w="408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道路標識設置工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設置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1.00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1.01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1.01</w:t>
            </w:r>
          </w:p>
        </w:tc>
      </w:tr>
      <w:tr>
        <w:trPr>
          <w:trHeight w:val="240" w:hRule="exact"/>
        </w:trPr>
        <w:tc>
          <w:tcPr>
            <w:tcW w:w="408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撤去・移設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1.01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1.03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1.04</w:t>
            </w:r>
          </w:p>
        </w:tc>
      </w:tr>
      <w:tr>
        <w:trPr>
          <w:trHeight w:val="240" w:hRule="exact"/>
        </w:trPr>
        <w:tc>
          <w:tcPr>
            <w:tcW w:w="408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道路付属物設置工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設置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1.00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1.01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1.02</w:t>
            </w:r>
          </w:p>
        </w:tc>
      </w:tr>
      <w:tr>
        <w:trPr>
          <w:trHeight w:val="240" w:hRule="exact"/>
        </w:trPr>
        <w:tc>
          <w:tcPr>
            <w:tcW w:w="408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撤去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1.01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1.03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1.05</w:t>
            </w:r>
          </w:p>
        </w:tc>
      </w:tr>
      <w:tr>
        <w:trPr>
          <w:trHeight w:val="240" w:hRule="exact"/>
        </w:trPr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法面工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1.00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1.01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1.02</w:t>
            </w:r>
          </w:p>
        </w:tc>
      </w:tr>
      <w:tr>
        <w:trPr>
          <w:trHeight w:val="240" w:hRule="exact"/>
        </w:trPr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吹付枠工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(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※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)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1.01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1.02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1.03</w:t>
            </w:r>
          </w:p>
        </w:tc>
      </w:tr>
      <w:tr>
        <w:trPr>
          <w:trHeight w:val="240" w:hRule="exact"/>
        </w:trPr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鉄筋挿入工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(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ロックボルト工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)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1.01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1.02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1.03</w:t>
            </w:r>
          </w:p>
        </w:tc>
      </w:tr>
      <w:tr>
        <w:trPr>
          <w:trHeight w:val="245" w:hRule="exact"/>
        </w:trPr>
        <w:tc>
          <w:tcPr>
            <w:tcW w:w="408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道路植栽工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植樹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1.01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1.03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1.05</w:t>
            </w:r>
          </w:p>
        </w:tc>
      </w:tr>
      <w:tr>
        <w:trPr>
          <w:trHeight w:val="240" w:hRule="exact"/>
        </w:trPr>
        <w:tc>
          <w:tcPr>
            <w:tcW w:w="408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剪定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1.01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1.03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1.05</w:t>
            </w:r>
          </w:p>
        </w:tc>
      </w:tr>
      <w:tr>
        <w:trPr>
          <w:trHeight w:val="240" w:hRule="exact"/>
        </w:trPr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公園植栽工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1.01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1.03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1.05</w:t>
            </w:r>
          </w:p>
        </w:tc>
      </w:tr>
      <w:tr>
        <w:trPr>
          <w:trHeight w:val="240" w:hRule="exact"/>
        </w:trPr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橋梁用伸縮継手装置設置工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1.00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1.01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1.02</w:t>
            </w:r>
          </w:p>
        </w:tc>
      </w:tr>
      <w:tr>
        <w:trPr>
          <w:trHeight w:val="240" w:hRule="exact"/>
        </w:trPr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橋梁用埋設型伸縮継手装置設置工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1.01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1.02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1.04</w:t>
            </w:r>
          </w:p>
        </w:tc>
      </w:tr>
      <w:tr>
        <w:trPr>
          <w:trHeight w:val="240" w:hRule="exact"/>
        </w:trPr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橋面防水工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1.00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1.01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1.02</w:t>
            </w:r>
          </w:p>
        </w:tc>
      </w:tr>
      <w:tr>
        <w:trPr>
          <w:trHeight w:val="240" w:hRule="exact"/>
        </w:trPr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薄層カラー舗装工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1.00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1.00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1.01</w:t>
            </w:r>
          </w:p>
        </w:tc>
      </w:tr>
      <w:tr>
        <w:trPr>
          <w:trHeight w:val="245" w:hRule="exact"/>
        </w:trPr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グルービング工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1.00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1.01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1.01</w:t>
            </w:r>
          </w:p>
        </w:tc>
      </w:tr>
      <w:tr>
        <w:trPr>
          <w:trHeight w:val="240" w:hRule="exact"/>
        </w:trPr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軟弱地盤処理工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1.00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1.01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1.02</w:t>
            </w:r>
          </w:p>
        </w:tc>
      </w:tr>
      <w:tr>
        <w:trPr>
          <w:trHeight w:val="254" w:hRule="exact"/>
        </w:trPr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コンクリート表面処理工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(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ウォータージェット工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)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1.00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1.01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1.01</w:t>
            </w:r>
          </w:p>
        </w:tc>
      </w:tr>
      <w:tr>
        <w:trPr>
          <w:trHeight w:val="264" w:hRule="exact"/>
        </w:trPr>
        <w:tc>
          <w:tcPr>
            <w:tcW w:w="8683" w:type="dxa"/>
            <w:gridSpan w:val="5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8"/>
                <w:highlight w:val="none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8"/>
                <w:highlight w:val="none"/>
                <w:shd w:val="clear" w:color="auto" w:fill="auto"/>
              </w:rPr>
              <w:t>【下水道関連】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8"/>
                <w:highlight w:val="none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8"/>
                <w:highlight w:val="none"/>
                <w:shd w:val="clear" w:color="auto" w:fill="auto"/>
              </w:rPr>
              <w:t>区分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8"/>
                <w:highlight w:val="none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8"/>
                <w:highlight w:val="none"/>
                <w:shd w:val="clear" w:color="auto" w:fill="auto"/>
              </w:rPr>
              <w:t>補正係数</w:t>
            </w:r>
          </w:p>
        </w:tc>
      </w:tr>
      <w:tr>
        <w:trPr>
          <w:trHeight w:val="240" w:hRule="exact"/>
        </w:trPr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  <w:highlight w:val="none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16"/>
                <w:highlight w:val="none"/>
              </w:rPr>
              <w:t>硬質塩化ビニル管設置工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  <w:color w:val="auto"/>
                <w:sz w:val="16"/>
                <w:highlight w:val="none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  <w:highlight w:val="none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highlight w:val="none"/>
                <w:shd w:val="clear" w:color="auto" w:fill="auto"/>
              </w:rPr>
              <w:t>1.01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  <w:highlight w:val="none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highlight w:val="none"/>
                <w:shd w:val="clear" w:color="auto" w:fill="auto"/>
              </w:rPr>
              <w:t>1.02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  <w:highlight w:val="none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highlight w:val="none"/>
                <w:shd w:val="clear" w:color="auto" w:fill="auto"/>
              </w:rPr>
              <w:t>1.03</w:t>
            </w:r>
          </w:p>
        </w:tc>
      </w:tr>
      <w:tr>
        <w:trPr>
          <w:trHeight w:val="240" w:hRule="exact"/>
        </w:trPr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16"/>
              </w:rPr>
              <w:t>リブ付硬質塩化ビニル管設置工</w:t>
            </w:r>
            <w:r>
              <w:rPr>
                <w:rFonts w:hint="eastAsia" w:ascii="ＭＳ ゴシック" w:hAnsi="ＭＳ ゴシック" w:eastAsia="ＭＳ ゴシック"/>
                <w:color w:val="auto"/>
                <w:sz w:val="16"/>
              </w:rPr>
              <w:t xml:space="preserve"> 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1.01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1.02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1.03</w:t>
            </w:r>
          </w:p>
        </w:tc>
      </w:tr>
      <w:tr>
        <w:trPr>
          <w:trHeight w:val="240" w:hRule="exact"/>
        </w:trPr>
        <w:tc>
          <w:tcPr>
            <w:tcW w:w="408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16"/>
              </w:rPr>
              <w:t>砂基礎工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人力施工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1.01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1.03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1.05</w:t>
            </w:r>
          </w:p>
        </w:tc>
      </w:tr>
      <w:tr>
        <w:trPr>
          <w:trHeight w:val="240" w:hRule="exact"/>
        </w:trPr>
        <w:tc>
          <w:tcPr>
            <w:tcW w:w="408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機械施工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1.01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1.03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1.05</w:t>
            </w:r>
          </w:p>
        </w:tc>
      </w:tr>
      <w:tr>
        <w:trPr>
          <w:trHeight w:val="240" w:hRule="exact"/>
        </w:trPr>
        <w:tc>
          <w:tcPr>
            <w:tcW w:w="408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16"/>
              </w:rPr>
              <w:t>砕石基礎工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人力施工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1.01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1.03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1.05</w:t>
            </w:r>
          </w:p>
        </w:tc>
      </w:tr>
      <w:tr>
        <w:trPr>
          <w:trHeight w:val="245" w:hRule="exact"/>
        </w:trPr>
        <w:tc>
          <w:tcPr>
            <w:tcW w:w="408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機械施工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1.01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1.03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1.05</w:t>
            </w:r>
          </w:p>
        </w:tc>
      </w:tr>
      <w:tr>
        <w:trPr>
          <w:trHeight w:val="240" w:hRule="exact"/>
        </w:trPr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16"/>
              </w:rPr>
              <w:t>組立マンホール設置工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1.01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1.03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1.05</w:t>
            </w:r>
          </w:p>
        </w:tc>
      </w:tr>
      <w:tr>
        <w:trPr>
          <w:trHeight w:val="240" w:hRule="exact"/>
        </w:trPr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16"/>
              </w:rPr>
              <w:t>小型マンホール工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1.00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1.00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1.01</w:t>
            </w:r>
          </w:p>
        </w:tc>
      </w:tr>
      <w:tr>
        <w:trPr>
          <w:trHeight w:val="245" w:hRule="exact"/>
        </w:trPr>
        <w:tc>
          <w:tcPr>
            <w:tcW w:w="408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16"/>
              </w:rPr>
              <w:t>取付管およびます設置工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ます設置工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1.00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1.01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1.01</w:t>
            </w:r>
          </w:p>
        </w:tc>
      </w:tr>
      <w:tr>
        <w:trPr>
          <w:trHeight w:val="448" w:hRule="exact"/>
        </w:trPr>
        <w:tc>
          <w:tcPr>
            <w:tcW w:w="408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00" w:lineRule="exact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16"/>
              </w:rPr>
              <w:t>取付管布設及び支管取付工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1.00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1.01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100"/>
                <w:position w:val="0"/>
                <w:sz w:val="16"/>
                <w:shd w:val="clear" w:color="auto" w:fill="auto"/>
              </w:rPr>
              <w:t>1.02</w:t>
            </w:r>
          </w:p>
        </w:tc>
      </w:tr>
    </w:tbl>
    <w:p>
      <w:pPr>
        <w:pStyle w:val="0"/>
        <w:autoSpaceDE w:val="0"/>
        <w:autoSpaceDN w:val="0"/>
        <w:adjustRightInd w:val="0"/>
        <w:ind w:left="216" w:leftChars="100"/>
        <w:rPr>
          <w:rFonts w:hint="eastAsia" w:ascii="ＭＳ ゴシック" w:hAnsi="ＭＳ ゴシック" w:eastAsia="ＭＳ ゴシック"/>
          <w:color w:val="auto"/>
          <w:sz w:val="21"/>
        </w:rPr>
      </w:pPr>
      <w:r>
        <w:rPr>
          <w:rFonts w:hint="default" w:ascii="ＭＳ" w:hAnsi="ＭＳ" w:eastAsia="ＭＳ"/>
          <w:color w:val="auto"/>
          <w:sz w:val="14"/>
        </w:rPr>
        <w:t>※</w:t>
      </w:r>
      <w:r>
        <w:rPr>
          <w:rFonts w:hint="eastAsia" w:ascii="ＭＳ ゴシック" w:hAnsi="ＭＳ ゴシック" w:eastAsia="ＭＳ ゴシック"/>
          <w:color w:val="auto"/>
          <w:sz w:val="14"/>
        </w:rPr>
        <w:t>簡易吹付法枠工（物価資料掲載以外の市場単価）については、吹付枠工を準用</w:t>
      </w:r>
      <w:r>
        <w:rPr>
          <w:rFonts w:hint="default" w:ascii="ＭＳ" w:hAnsi="ＭＳ" w:eastAsia="ＭＳ"/>
          <w:color w:val="auto"/>
          <w:sz w:val="14"/>
        </w:rPr>
        <w:t xml:space="preserve"> </w:t>
      </w:r>
    </w:p>
    <w:p>
      <w:pPr>
        <w:pStyle w:val="0"/>
        <w:rPr>
          <w:rFonts w:hint="eastAsia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・「土木工事標準単価」⇒「土木コスト情報」及び「土木施工単価」に掲載の単価を使用</w:t>
      </w:r>
    </w:p>
    <w:p>
      <w:pPr>
        <w:pStyle w:val="0"/>
        <w:rPr>
          <w:rFonts w:hint="eastAsia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・「港湾工事市場単価」⇒笠岡市週休２日工事実施要領（港湾・漁港工事）による</w:t>
      </w:r>
    </w:p>
    <w:p>
      <w:pPr>
        <w:pStyle w:val="0"/>
        <w:rPr>
          <w:rFonts w:hint="eastAsia" w:ascii="ＭＳ ゴシック" w:hAnsi="ＭＳ ゴシック" w:eastAsia="ＭＳ ゴシック"/>
          <w:color w:val="auto"/>
          <w:sz w:val="21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○その他</w:t>
      </w:r>
    </w:p>
    <w:p>
      <w:pPr>
        <w:pStyle w:val="0"/>
        <w:ind w:left="216" w:leftChars="100"/>
        <w:rPr>
          <w:rFonts w:hint="eastAsia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積算基準が異なる工種区分を有する工事は、主たる工種における補正係数を適用</w:t>
      </w:r>
    </w:p>
    <w:p>
      <w:pPr>
        <w:pStyle w:val="0"/>
        <w:rPr>
          <w:rFonts w:hint="eastAsia" w:ascii="ＭＳ ゴシック" w:hAnsi="ＭＳ ゴシック" w:eastAsia="ＭＳ ゴシック"/>
          <w:color w:val="auto"/>
          <w:sz w:val="21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33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oper Black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E..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・ックE..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displayBackgroundShape/>
  <w:bordersDoNotSurroundHeader/>
  <w:bordersDoNotSurroundFooter/>
  <w:defaultTabStop w:val="840"/>
  <w:hyphenationZone w:val="0"/>
  <w:drawingGridHorizontalSpacing w:val="215"/>
  <w:drawingGridVerticalSpacing w:val="16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 w:customStyle="1">
    <w:name w:val="その他|1_"/>
    <w:basedOn w:val="10"/>
    <w:next w:val="17"/>
    <w:link w:val="18"/>
    <w:uiPriority w:val="0"/>
    <w:rPr>
      <w:sz w:val="22"/>
      <w:u w:val="none" w:color="auto"/>
    </w:rPr>
  </w:style>
  <w:style w:type="paragraph" w:styleId="18" w:customStyle="1">
    <w:name w:val="その他|1"/>
    <w:basedOn w:val="0"/>
    <w:next w:val="18"/>
    <w:link w:val="17"/>
    <w:uiPriority w:val="0"/>
    <w:qFormat/>
    <w:pPr>
      <w:keepNext w:val="0"/>
      <w:keepLines w:val="0"/>
      <w:pageBreakBefore w:val="0"/>
      <w:widowControl w:val="0"/>
      <w:suppressLineNumbers w:val="0"/>
      <w:shd w:val="clear" w:color="auto" w:fill="FFFFFF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000000"/>
      <w:spacing w:val="0"/>
      <w:w w:val="100"/>
      <w:position w:val="0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319</TotalTime>
  <Pages>3</Pages>
  <Words>312</Words>
  <Characters>2262</Characters>
  <Application>JUST Note</Application>
  <Lines>1245</Lines>
  <Paragraphs>269</Paragraphs>
  <CharactersWithSpaces>2270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J20002</cp:lastModifiedBy>
  <dcterms:modified xsi:type="dcterms:W3CDTF">2023-12-22T09:40:47Z</dcterms:modified>
  <cp:revision>20</cp:revision>
</cp:coreProperties>
</file>